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684A" w14:textId="7D698BA2" w:rsidR="005439C6" w:rsidRPr="005439C6" w:rsidRDefault="005439C6" w:rsidP="00230DB3">
      <w:pPr>
        <w:spacing w:before="23"/>
        <w:rPr>
          <w:b/>
          <w:spacing w:val="-4"/>
          <w:sz w:val="36"/>
        </w:rPr>
      </w:pPr>
      <w:r w:rsidRPr="003E1D84">
        <w:rPr>
          <w:b/>
          <w:sz w:val="36"/>
        </w:rPr>
        <w:t>Key</w:t>
      </w:r>
      <w:r w:rsidRPr="003E1D84">
        <w:rPr>
          <w:b/>
          <w:spacing w:val="-13"/>
          <w:sz w:val="36"/>
        </w:rPr>
        <w:t xml:space="preserve"> </w:t>
      </w:r>
      <w:r w:rsidRPr="003E1D84">
        <w:rPr>
          <w:b/>
          <w:sz w:val="36"/>
        </w:rPr>
        <w:t>achievements</w:t>
      </w:r>
      <w:r w:rsidRPr="003E1D84">
        <w:rPr>
          <w:b/>
          <w:spacing w:val="-12"/>
          <w:sz w:val="36"/>
        </w:rPr>
        <w:t xml:space="preserve"> </w:t>
      </w:r>
      <w:r w:rsidRPr="003E1D84">
        <w:rPr>
          <w:b/>
          <w:sz w:val="36"/>
        </w:rPr>
        <w:t>2023-</w:t>
      </w:r>
      <w:r w:rsidRPr="003E1D84">
        <w:rPr>
          <w:b/>
          <w:spacing w:val="-4"/>
          <w:sz w:val="36"/>
        </w:rPr>
        <w:t>2024</w:t>
      </w:r>
    </w:p>
    <w:p w14:paraId="7840AD08" w14:textId="77777777" w:rsidR="005439C6" w:rsidRDefault="005439C6" w:rsidP="005439C6">
      <w:pPr>
        <w:pStyle w:val="BodyText"/>
        <w:spacing w:before="7"/>
        <w:rPr>
          <w:sz w:val="13"/>
        </w:rPr>
      </w:pPr>
    </w:p>
    <w:tbl>
      <w:tblPr>
        <w:tblW w:w="15492" w:type="dxa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8"/>
        <w:gridCol w:w="5077"/>
        <w:gridCol w:w="4807"/>
      </w:tblGrid>
      <w:tr w:rsidR="005439C6" w14:paraId="75A722F3" w14:textId="77777777" w:rsidTr="00AB027C">
        <w:trPr>
          <w:trHeight w:val="281"/>
        </w:trPr>
        <w:tc>
          <w:tcPr>
            <w:tcW w:w="5608" w:type="dxa"/>
          </w:tcPr>
          <w:p w14:paraId="643AF70D" w14:textId="77777777" w:rsidR="005439C6" w:rsidRDefault="005439C6" w:rsidP="00AB02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77" w:type="dxa"/>
          </w:tcPr>
          <w:p w14:paraId="4524A456" w14:textId="77777777" w:rsidR="005439C6" w:rsidRDefault="005439C6" w:rsidP="00AB027C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807" w:type="dxa"/>
          </w:tcPr>
          <w:p w14:paraId="29C13F53" w14:textId="77777777" w:rsidR="005439C6" w:rsidRDefault="005439C6" w:rsidP="00AB02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5439C6" w14:paraId="357D0C61" w14:textId="77777777" w:rsidTr="00AB027C">
        <w:trPr>
          <w:trHeight w:val="3041"/>
        </w:trPr>
        <w:tc>
          <w:tcPr>
            <w:tcW w:w="5608" w:type="dxa"/>
          </w:tcPr>
          <w:p w14:paraId="27F4AF47" w14:textId="77777777" w:rsidR="005439C6" w:rsidRPr="00B41468" w:rsidRDefault="005439C6" w:rsidP="00AB027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£6241 spent on equipment to improve:</w:t>
            </w:r>
          </w:p>
          <w:p w14:paraId="70F4F8F4" w14:textId="77777777" w:rsidR="005439C6" w:rsidRPr="00B41468" w:rsidRDefault="005439C6" w:rsidP="00AB027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FF9165" w14:textId="77777777" w:rsidR="005439C6" w:rsidRPr="00B41468" w:rsidRDefault="005439C6" w:rsidP="005439C6">
            <w:pPr>
              <w:pStyle w:val="TableParagraph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Our provision for lunch clubs (football, boxercise, dance, street racket, </w:t>
            </w:r>
            <w:proofErr w:type="spellStart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kurling</w:t>
            </w:r>
            <w:proofErr w:type="spellEnd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, boccia &amp; athletics). </w:t>
            </w:r>
          </w:p>
          <w:p w14:paraId="677980C4" w14:textId="77777777" w:rsidR="005439C6" w:rsidRPr="00B41468" w:rsidRDefault="005439C6" w:rsidP="005439C6">
            <w:pPr>
              <w:pStyle w:val="TableParagraph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Our sports curriculum provision in PE such as badminton, tennis, handball and rounders</w:t>
            </w:r>
          </w:p>
        </w:tc>
        <w:tc>
          <w:tcPr>
            <w:tcW w:w="5077" w:type="dxa"/>
          </w:tcPr>
          <w:p w14:paraId="3B4DDE6F" w14:textId="77777777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Key indicator 2: The engagement of all pupils in regular physical activity</w:t>
            </w:r>
          </w:p>
          <w:p w14:paraId="355B1799" w14:textId="77777777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Key Indicator 3: The profile of PE and sport as a tool for whole school improvement  </w:t>
            </w:r>
          </w:p>
          <w:p w14:paraId="02A5292B" w14:textId="24D1E902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Key indicator 4: </w:t>
            </w:r>
            <w:r w:rsidR="007F07C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roader experience of a range of sports activities offered to all pupils</w:t>
            </w:r>
          </w:p>
          <w:p w14:paraId="15290F45" w14:textId="77777777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Key indicator 5: Increased participation in competitive sport</w:t>
            </w:r>
          </w:p>
          <w:p w14:paraId="633B89D5" w14:textId="55BBC9DC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This has provided </w:t>
            </w:r>
            <w:r w:rsidR="007F07C5">
              <w:rPr>
                <w:rFonts w:asciiTheme="minorHAnsi" w:hAnsiTheme="minorHAnsi" w:cstheme="minorHAnsi"/>
                <w:sz w:val="24"/>
                <w:szCs w:val="24"/>
              </w:rPr>
              <w:t>pupils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with greater access to sports clubs, develop</w:t>
            </w:r>
            <w:r w:rsidR="007F07C5">
              <w:rPr>
                <w:rFonts w:asciiTheme="minorHAnsi" w:hAnsiTheme="minorHAnsi" w:cstheme="minorHAnsi"/>
                <w:sz w:val="24"/>
                <w:szCs w:val="24"/>
              </w:rPr>
              <w:t>ed interest in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hobbies and </w:t>
            </w:r>
            <w:r w:rsidR="007F07C5">
              <w:rPr>
                <w:rFonts w:asciiTheme="minorHAnsi" w:hAnsiTheme="minorHAnsi" w:cstheme="minorHAnsi"/>
                <w:sz w:val="24"/>
                <w:szCs w:val="24"/>
              </w:rPr>
              <w:t>provided greater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opportunities to develop a love of sport. We have seen a greater uptake</w:t>
            </w:r>
            <w:r w:rsidR="002A7E67">
              <w:rPr>
                <w:rFonts w:asciiTheme="minorHAnsi" w:hAnsiTheme="minorHAnsi" w:cstheme="minorHAnsi"/>
                <w:sz w:val="24"/>
                <w:szCs w:val="24"/>
              </w:rPr>
              <w:t xml:space="preserve"> in pupils accessing sporting activities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and more positive experience of pupils engaging in physical activity in our school.</w:t>
            </w:r>
          </w:p>
        </w:tc>
        <w:tc>
          <w:tcPr>
            <w:tcW w:w="4807" w:type="dxa"/>
          </w:tcPr>
          <w:p w14:paraId="7E2390F5" w14:textId="6428CF6A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Equipment purchased is sustainable and can be </w:t>
            </w:r>
            <w:proofErr w:type="spellStart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utilised</w:t>
            </w:r>
            <w:proofErr w:type="spellEnd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year on year with limited wear and tear and upkeep costs.</w:t>
            </w:r>
          </w:p>
        </w:tc>
      </w:tr>
      <w:tr w:rsidR="005439C6" w14:paraId="36118C00" w14:textId="77777777" w:rsidTr="00AB027C">
        <w:trPr>
          <w:trHeight w:val="3041"/>
        </w:trPr>
        <w:tc>
          <w:tcPr>
            <w:tcW w:w="5608" w:type="dxa"/>
          </w:tcPr>
          <w:p w14:paraId="1950A501" w14:textId="77777777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£1064.26 spent on dance equipment, dance instructor and dance CPD:</w:t>
            </w:r>
          </w:p>
          <w:p w14:paraId="45D6E0F1" w14:textId="77777777" w:rsidR="005439C6" w:rsidRPr="00B41468" w:rsidRDefault="005439C6" w:rsidP="00AB027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8065A0" w14:textId="77777777" w:rsidR="005439C6" w:rsidRPr="00B41468" w:rsidRDefault="005439C6" w:rsidP="00AB027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7" w:type="dxa"/>
          </w:tcPr>
          <w:p w14:paraId="5BC7906D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Key indicator 1: Improving staff confidence, knowledge and skills in teaching PE / sport</w:t>
            </w:r>
          </w:p>
          <w:p w14:paraId="11FC959E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Key indicator 2: The engagement of all pupils </w:t>
            </w:r>
          </w:p>
          <w:p w14:paraId="22049715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Key indicator 4: Broader experience of a range of sports and activities offered to all pupils</w:t>
            </w:r>
          </w:p>
          <w:p w14:paraId="2524BB73" w14:textId="5B1240B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Through the introduction of a dance instructor </w:t>
            </w:r>
            <w:r w:rsidR="002A7E67">
              <w:rPr>
                <w:rFonts w:asciiTheme="minorHAnsi" w:hAnsiTheme="minorHAnsi" w:cstheme="minorHAnsi"/>
                <w:sz w:val="24"/>
                <w:szCs w:val="24"/>
              </w:rPr>
              <w:t xml:space="preserve">this 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has supported PHS to bridge</w:t>
            </w:r>
            <w:r w:rsidR="002A7E67">
              <w:rPr>
                <w:rFonts w:asciiTheme="minorHAnsi" w:hAnsiTheme="minorHAnsi" w:cstheme="minorHAnsi"/>
                <w:sz w:val="24"/>
                <w:szCs w:val="24"/>
              </w:rPr>
              <w:t xml:space="preserve"> identified 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gaps in staff knowledge</w:t>
            </w:r>
          </w:p>
          <w:p w14:paraId="0D37F4CF" w14:textId="22642161" w:rsidR="005439C6" w:rsidRPr="00B41468" w:rsidRDefault="002A7E67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Pupils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have received high quality PE lessons in Dance and have had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received 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>improved enrichment opportunities such as access to Dance clubs over lunchtime.</w:t>
            </w:r>
          </w:p>
        </w:tc>
        <w:tc>
          <w:tcPr>
            <w:tcW w:w="4807" w:type="dxa"/>
          </w:tcPr>
          <w:p w14:paraId="36B76E5C" w14:textId="6189D48E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The CPD has provided valuable subject knowledge to continue to improve the delivery of </w:t>
            </w:r>
            <w:r w:rsidR="002A7E67" w:rsidRPr="00B41468">
              <w:rPr>
                <w:rFonts w:asciiTheme="minorHAnsi" w:hAnsiTheme="minorHAnsi" w:cstheme="minorHAnsi"/>
                <w:sz w:val="24"/>
                <w:szCs w:val="24"/>
              </w:rPr>
              <w:t>high-quality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dance in PE for the coming years</w:t>
            </w:r>
          </w:p>
        </w:tc>
      </w:tr>
      <w:tr w:rsidR="005439C6" w14:paraId="557CCD58" w14:textId="77777777" w:rsidTr="00AB027C">
        <w:trPr>
          <w:trHeight w:val="838"/>
        </w:trPr>
        <w:tc>
          <w:tcPr>
            <w:tcW w:w="5608" w:type="dxa"/>
          </w:tcPr>
          <w:p w14:paraId="70060EEC" w14:textId="77777777" w:rsidR="002A7E67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£2899.87 has been spent on Cycling equipment, including 6 new bikes, helmets and cycling cones for accessing the ‘bike-ability’ course</w:t>
            </w:r>
          </w:p>
          <w:p w14:paraId="5A34A7E7" w14:textId="16553208" w:rsidR="005439C6" w:rsidRPr="00B41468" w:rsidRDefault="002A7E67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Cycling has also been accessed via PE lessons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, lunchtime clubs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therapy 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>drop-in sessions.</w:t>
            </w:r>
          </w:p>
        </w:tc>
        <w:tc>
          <w:tcPr>
            <w:tcW w:w="5077" w:type="dxa"/>
          </w:tcPr>
          <w:p w14:paraId="311A22D5" w14:textId="4013E37E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Key indicator 2: </w:t>
            </w:r>
            <w:r w:rsidR="002A7E67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he engagement of pupils in regular physical activity </w:t>
            </w:r>
          </w:p>
          <w:p w14:paraId="52B71E05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Key Indicator 3: The profile of PE and sport as a 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tool for whole school improvement  </w:t>
            </w:r>
          </w:p>
          <w:p w14:paraId="56077B15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Key indicator 4: Broader experience of a range of sports and activities offered to all pupils</w:t>
            </w:r>
          </w:p>
          <w:p w14:paraId="7809C997" w14:textId="0A7F9D2E" w:rsidR="005439C6" w:rsidRPr="00B41468" w:rsidRDefault="002A7E67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Pupils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have been able to complete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‘</w:t>
            </w:r>
            <w:proofErr w:type="spellStart"/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>bikeability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schemes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they 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>have greater safety awareness and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functional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motor skills in relation to ri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>ing a bike. Pupils have been able to attend regular cycling drop-in sessions through therapeutic intervention which has improved daily access to physical activity and improvements with wellbeing and independence</w:t>
            </w:r>
          </w:p>
          <w:p w14:paraId="2A879474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Some pupils can now ride a bike and were previously unable to do so</w:t>
            </w:r>
          </w:p>
        </w:tc>
        <w:tc>
          <w:tcPr>
            <w:tcW w:w="4807" w:type="dxa"/>
          </w:tcPr>
          <w:p w14:paraId="2E56DD84" w14:textId="77777777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The bikes will be used year on year with a small fee to pay for annual servicing </w:t>
            </w:r>
          </w:p>
        </w:tc>
      </w:tr>
      <w:tr w:rsidR="005439C6" w14:paraId="5772A5AF" w14:textId="77777777" w:rsidTr="00AB027C">
        <w:trPr>
          <w:trHeight w:val="3041"/>
        </w:trPr>
        <w:tc>
          <w:tcPr>
            <w:tcW w:w="5608" w:type="dxa"/>
          </w:tcPr>
          <w:p w14:paraId="2FDE923F" w14:textId="77777777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£3853 to improve physical independence and access to learning</w:t>
            </w:r>
          </w:p>
          <w:p w14:paraId="089D363C" w14:textId="77777777" w:rsidR="005439C6" w:rsidRPr="00B41468" w:rsidRDefault="005439C6" w:rsidP="005439C6">
            <w:pPr>
              <w:pStyle w:val="TableParagraph"/>
              <w:numPr>
                <w:ilvl w:val="1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Installing ceiling tracking (overhead hoists) into learning environments </w:t>
            </w:r>
          </w:p>
          <w:p w14:paraId="123649E2" w14:textId="77777777" w:rsidR="005439C6" w:rsidRPr="00B41468" w:rsidRDefault="005439C6" w:rsidP="005439C6">
            <w:pPr>
              <w:pStyle w:val="TableParagraph"/>
              <w:numPr>
                <w:ilvl w:val="1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Sensory equipment such as </w:t>
            </w:r>
            <w:proofErr w:type="spellStart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scooterboard</w:t>
            </w:r>
            <w:proofErr w:type="spellEnd"/>
          </w:p>
        </w:tc>
        <w:tc>
          <w:tcPr>
            <w:tcW w:w="5077" w:type="dxa"/>
          </w:tcPr>
          <w:p w14:paraId="47BD0B6A" w14:textId="728FB81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Key indicator 2: </w:t>
            </w:r>
            <w:r w:rsidR="002A7E67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he engagement of pupils in regular physical activity </w:t>
            </w:r>
          </w:p>
          <w:p w14:paraId="3A6BB0B5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Key Indicator 3: The profile of PE and sport as a tool for whole school improvement  </w:t>
            </w:r>
          </w:p>
          <w:p w14:paraId="5066E95E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Key indicator 4: Broader experience of a range of sports and activities offered to all pupils</w:t>
            </w:r>
          </w:p>
          <w:p w14:paraId="17139E48" w14:textId="78F044A8" w:rsidR="005439C6" w:rsidRPr="00B41468" w:rsidRDefault="002A7E67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Pupils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with complex physical needs have improved opportunities to access daily physical activity and improve their functional independence within varied learning environments e.g. walking and standing practice. </w:t>
            </w:r>
          </w:p>
          <w:p w14:paraId="66ABEF8B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Improvements in upper limb strength and coordination, as well as spatial awareness has been gained through scooter board exercise interventions </w:t>
            </w:r>
          </w:p>
        </w:tc>
        <w:tc>
          <w:tcPr>
            <w:tcW w:w="4807" w:type="dxa"/>
          </w:tcPr>
          <w:p w14:paraId="6D119AF5" w14:textId="77777777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Equipment purchased has longevity and can be </w:t>
            </w:r>
            <w:proofErr w:type="spellStart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utilised</w:t>
            </w:r>
            <w:proofErr w:type="spellEnd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with a wide cohort of pupils daily </w:t>
            </w:r>
          </w:p>
        </w:tc>
      </w:tr>
      <w:tr w:rsidR="005439C6" w14:paraId="6B3A5729" w14:textId="77777777" w:rsidTr="00AB027C">
        <w:trPr>
          <w:trHeight w:val="3041"/>
        </w:trPr>
        <w:tc>
          <w:tcPr>
            <w:tcW w:w="5608" w:type="dxa"/>
          </w:tcPr>
          <w:p w14:paraId="644B0E01" w14:textId="77777777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£349.06 spent on sports day activities</w:t>
            </w:r>
          </w:p>
        </w:tc>
        <w:tc>
          <w:tcPr>
            <w:tcW w:w="5077" w:type="dxa"/>
          </w:tcPr>
          <w:p w14:paraId="2E6517A1" w14:textId="346D58B4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Key indicator 3: </w:t>
            </w:r>
            <w:r w:rsidR="002A7E6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aising the profile of PE and sport across the school, to support whole school improvement </w:t>
            </w:r>
          </w:p>
          <w:p w14:paraId="7748381A" w14:textId="6CF6FAC4" w:rsidR="005439C6" w:rsidRPr="00B41468" w:rsidRDefault="002A7E67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Pupils 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were able to feel included in the build up to sports day as well as the day itself, through their participation in the design of sports day banners / posters. Pupils designed their own team flags and t-shirts which promoted sportsmanship, inclusivity and raised the profile of sports day across the school. </w:t>
            </w:r>
          </w:p>
          <w:p w14:paraId="289D3BA0" w14:textId="5D96A04F" w:rsidR="005439C6" w:rsidRPr="00B41468" w:rsidRDefault="002A7E67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Pupils </w:t>
            </w:r>
            <w:r w:rsidR="005439C6" w:rsidRPr="00B41468">
              <w:rPr>
                <w:rFonts w:asciiTheme="minorHAnsi" w:hAnsiTheme="minorHAnsi" w:cstheme="minorHAnsi"/>
                <w:sz w:val="24"/>
                <w:szCs w:val="24"/>
              </w:rPr>
              <w:t>who previously had a lower interest in sports day provided feedback to say they’re looking forward to sports day next year!</w:t>
            </w:r>
          </w:p>
        </w:tc>
        <w:tc>
          <w:tcPr>
            <w:tcW w:w="4807" w:type="dxa"/>
          </w:tcPr>
          <w:p w14:paraId="33053E78" w14:textId="77777777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Some resources can be reused for next </w:t>
            </w:r>
            <w:proofErr w:type="spellStart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years</w:t>
            </w:r>
            <w:proofErr w:type="spellEnd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sports day event/s </w:t>
            </w:r>
          </w:p>
        </w:tc>
      </w:tr>
      <w:tr w:rsidR="005439C6" w14:paraId="71B0C8C8" w14:textId="77777777" w:rsidTr="00AB027C">
        <w:trPr>
          <w:trHeight w:val="3041"/>
        </w:trPr>
        <w:tc>
          <w:tcPr>
            <w:tcW w:w="5608" w:type="dxa"/>
          </w:tcPr>
          <w:p w14:paraId="382EAA5E" w14:textId="77777777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£1914 was spent on CPD and training for:</w:t>
            </w:r>
          </w:p>
          <w:p w14:paraId="714AB655" w14:textId="77777777" w:rsidR="005439C6" w:rsidRPr="00B41468" w:rsidRDefault="005439C6" w:rsidP="005439C6">
            <w:pPr>
              <w:pStyle w:val="TableParagraph"/>
              <w:numPr>
                <w:ilvl w:val="1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Boxercise</w:t>
            </w:r>
          </w:p>
          <w:p w14:paraId="2799132E" w14:textId="77777777" w:rsidR="005439C6" w:rsidRDefault="005439C6" w:rsidP="005439C6">
            <w:pPr>
              <w:pStyle w:val="TableParagraph"/>
              <w:numPr>
                <w:ilvl w:val="1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Street racket</w:t>
            </w:r>
          </w:p>
          <w:p w14:paraId="1293151E" w14:textId="2271344A" w:rsidR="002A7E67" w:rsidRPr="002A7E67" w:rsidRDefault="002A7E67" w:rsidP="002A7E67">
            <w:pPr>
              <w:pStyle w:val="TableParagraph"/>
              <w:numPr>
                <w:ilvl w:val="1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Playmakers award</w:t>
            </w:r>
          </w:p>
          <w:p w14:paraId="3681894E" w14:textId="77777777" w:rsidR="005439C6" w:rsidRPr="00B41468" w:rsidRDefault="005439C6" w:rsidP="005439C6">
            <w:pPr>
              <w:pStyle w:val="TableParagraph"/>
              <w:numPr>
                <w:ilvl w:val="1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D1 minibus driving training </w:t>
            </w:r>
          </w:p>
        </w:tc>
        <w:tc>
          <w:tcPr>
            <w:tcW w:w="5077" w:type="dxa"/>
          </w:tcPr>
          <w:p w14:paraId="227D34A7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Key indicator 1: Improving staff confidence, knowledge and skills in teaching PE / sport</w:t>
            </w:r>
          </w:p>
          <w:p w14:paraId="3859B0CD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Key indicator 5: Increased participation in competitive sport</w:t>
            </w:r>
          </w:p>
          <w:p w14:paraId="63E082E9" w14:textId="77777777" w:rsidR="005439C6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Staff are now able to deliver boxercise and street racket as part of clubs and within PE lessons. </w:t>
            </w:r>
          </w:p>
          <w:p w14:paraId="67B871CB" w14:textId="46796F84" w:rsidR="002A7E67" w:rsidRPr="00B41468" w:rsidRDefault="002A7E67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Pupils had greater opportunities to engage in sports leadership and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opitmise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‘pupils voice’ to support engagement in lunchtime activities.</w:t>
            </w:r>
          </w:p>
          <w:p w14:paraId="370B07B3" w14:textId="77777777" w:rsidR="005439C6" w:rsidRPr="00B41468" w:rsidRDefault="005439C6" w:rsidP="005439C6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D1 driving license training will enable improved access and frequency to </w:t>
            </w:r>
            <w:proofErr w:type="gramStart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sporting</w:t>
            </w:r>
            <w:proofErr w:type="gramEnd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events and enrichment opportunities offsite on a regular basis </w:t>
            </w:r>
          </w:p>
        </w:tc>
        <w:tc>
          <w:tcPr>
            <w:tcW w:w="4807" w:type="dxa"/>
          </w:tcPr>
          <w:p w14:paraId="3D333CD0" w14:textId="77777777" w:rsidR="005439C6" w:rsidRPr="00B41468" w:rsidRDefault="005439C6" w:rsidP="005439C6">
            <w:pPr>
              <w:pStyle w:val="TableParagraph"/>
              <w:numPr>
                <w:ilvl w:val="0"/>
                <w:numId w:val="2"/>
              </w:numPr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Staff will use the knowledge gained to implement boxercise and street racket into PE lessons and lunchtime/sports clubs for years to come. The license will improve transport opportunities for the next 5 years</w:t>
            </w:r>
          </w:p>
        </w:tc>
      </w:tr>
    </w:tbl>
    <w:p w14:paraId="26139CF7" w14:textId="77777777" w:rsidR="005439C6" w:rsidRDefault="005439C6" w:rsidP="005439C6">
      <w:pPr>
        <w:rPr>
          <w:rFonts w:ascii="Times New Roman"/>
          <w:sz w:val="28"/>
        </w:rPr>
        <w:sectPr w:rsidR="005439C6" w:rsidSect="005439C6">
          <w:pgSz w:w="16840" w:h="11910" w:orient="landscape"/>
          <w:pgMar w:top="720" w:right="580" w:bottom="640" w:left="540" w:header="0" w:footer="440" w:gutter="0"/>
          <w:cols w:space="720"/>
        </w:sectPr>
      </w:pPr>
    </w:p>
    <w:p w14:paraId="59797064" w14:textId="77777777" w:rsidR="005439C6" w:rsidRDefault="005439C6" w:rsidP="005439C6">
      <w:pPr>
        <w:pStyle w:val="BodyText"/>
        <w:ind w:left="117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739A0B4B" wp14:editId="77B02A63">
                <wp:extent cx="9811385" cy="34607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5F175B56" w14:textId="77777777" w:rsidR="005439C6" w:rsidRDefault="005439C6" w:rsidP="005439C6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9A0B4B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t18sgEAAE8DAAAOAAAAZHJzL2Uyb0RvYy54bWysU9uO0zAQfUfiHyy/0yTdCyVquoIti5BW&#10;gLTLBziO3Vo4HuNxm/TvGbtpu4K3FS+TsT0+PufMZHk39pbtVUADruHVrORMOQmdcZuG/3x+eLfg&#10;DKNwnbDgVMMPCvnd6u2b5eBrNYct2E4FRiAO68E3fBujr4sC5Vb1AmfglaNDDaEXkZZhU3RBDITe&#10;22JelrfFAKHzAaRCpN318ZCvMr7WSsbvWqOKzDacuMUcQ45tisVqKepNEH5r5ERDvIJFL4yjR89Q&#10;axEF2wXzD1RvZAAEHWcS+gK0NlJlDaSmKv9S87QVXmUtZA76s034/2Dlt/2T/xFYHD/BSA3MItA/&#10;gvyF5E0xeKynmuQp1kjVSeioQ5++JIHRRfL2cPZTjZFJ2vywqKqrxQ1nks6urm/L9zfJ8OJy2weM&#10;XxT0LCUND9SvzEDsHzEeS08l6TEEa7oHY21ehE17bwPbC+rt5/W8ml9P6C/KsoAj58Q+ju1IsClt&#10;oTuQ8IF633D8vRNBcWa/OjI3DcopCaekPSUh2nvI45RYOPi4i6BNZnvBnayjrmW904SlsXi5zlWX&#10;/2D1BwAA//8DAFBLAwQUAAYACAAAACEAVaO7adsAAAAFAQAADwAAAGRycy9kb3ducmV2LnhtbEyP&#10;MU/DMBCFdyT+g3VILIg6RgRQiFMhpA6IiZQObNf4SKLG58h2mvTf47LAcnqnd3rvu3K92EEcyYfe&#10;sQa1ykAQN8703Gr43G5un0CEiGxwcEwaThRgXV1elFgYN/MHHevYihTCoUANXYxjIWVoOrIYVm4k&#10;Tt638xZjWn0rjcc5hdtB3mXZg7TYc2rocKTXjppDPVkNmy/VKnXzlvvdwUw4n953tX3U+vpqeXkG&#10;EWmJf8dwxk/oUCWmvZvYBDFoSI/E33n28vtcgdhrSAJkVcr/9NUPAAAA//8DAFBLAQItABQABgAI&#10;AAAAIQC2gziS/gAAAOEBAAATAAAAAAAAAAAAAAAAAAAAAABbQ29udGVudF9UeXBlc10ueG1sUEsB&#10;Ai0AFAAGAAgAAAAhADj9If/WAAAAlAEAAAsAAAAAAAAAAAAAAAAALwEAAF9yZWxzLy5yZWxzUEsB&#10;Ai0AFAAGAAgAAAAhAHnq3XyyAQAATwMAAA4AAAAAAAAAAAAAAAAALgIAAGRycy9lMm9Eb2MueG1s&#10;UEsBAi0AFAAGAAgAAAAhAFWju2nbAAAABQEAAA8AAAAAAAAAAAAAAAAADAQAAGRycy9kb3ducmV2&#10;LnhtbFBLBQYAAAAABAAEAPMAAAAUBQAAAAA=&#10;" fillcolor="#ed2124" stroked="f">
                <v:textbox inset="0,0,0,0">
                  <w:txbxContent>
                    <w:p w14:paraId="5F175B56" w14:textId="77777777" w:rsidR="005439C6" w:rsidRDefault="005439C6" w:rsidP="005439C6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D9A32B" w14:textId="77777777" w:rsidR="005439C6" w:rsidRDefault="005439C6" w:rsidP="005439C6">
      <w:pPr>
        <w:spacing w:before="88" w:line="339" w:lineRule="exact"/>
        <w:ind w:left="180"/>
        <w:rPr>
          <w:i/>
          <w:sz w:val="28"/>
        </w:rPr>
      </w:pPr>
      <w:r>
        <w:rPr>
          <w:i/>
          <w:color w:val="231F20"/>
          <w:sz w:val="28"/>
          <w:u w:val="single" w:color="231F20"/>
        </w:rPr>
        <w:t>Meeting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National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Curriculum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requirements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for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swimming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and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water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pacing w:val="-2"/>
          <w:sz w:val="28"/>
          <w:u w:val="single" w:color="231F20"/>
        </w:rPr>
        <w:t>safety.</w:t>
      </w:r>
    </w:p>
    <w:p w14:paraId="12555F3F" w14:textId="77777777" w:rsidR="005439C6" w:rsidRDefault="005439C6" w:rsidP="005439C6">
      <w:pPr>
        <w:spacing w:before="3" w:line="235" w:lineRule="auto"/>
        <w:ind w:left="180"/>
        <w:rPr>
          <w:i/>
          <w:sz w:val="28"/>
        </w:rPr>
      </w:pPr>
      <w:r>
        <w:rPr>
          <w:i/>
          <w:color w:val="231F20"/>
          <w:sz w:val="28"/>
        </w:rPr>
        <w:t>Priority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should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always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be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given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ensuring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that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pupils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can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perform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safe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self-rescue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even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if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they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do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not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fully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meet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the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first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two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requirements of the National Curriculum programme of study</w:t>
      </w:r>
    </w:p>
    <w:p w14:paraId="7033B752" w14:textId="77777777" w:rsidR="005439C6" w:rsidRDefault="005439C6" w:rsidP="005439C6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1003"/>
        <w:gridCol w:w="7508"/>
      </w:tblGrid>
      <w:tr w:rsidR="005439C6" w14:paraId="4AAE38FE" w14:textId="77777777" w:rsidTr="001D4B98">
        <w:trPr>
          <w:trHeight w:val="686"/>
        </w:trPr>
        <w:tc>
          <w:tcPr>
            <w:tcW w:w="6867" w:type="dxa"/>
          </w:tcPr>
          <w:p w14:paraId="0B0CB0EA" w14:textId="77777777" w:rsidR="005439C6" w:rsidRDefault="005439C6" w:rsidP="00AB027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Question</w:t>
            </w:r>
          </w:p>
        </w:tc>
        <w:tc>
          <w:tcPr>
            <w:tcW w:w="1003" w:type="dxa"/>
          </w:tcPr>
          <w:p w14:paraId="00EBB8AF" w14:textId="77777777" w:rsidR="005439C6" w:rsidRDefault="005439C6" w:rsidP="001D4B98">
            <w:pPr>
              <w:pStyle w:val="TableParagraph"/>
              <w:ind w:left="79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Stats:</w:t>
            </w:r>
          </w:p>
        </w:tc>
        <w:tc>
          <w:tcPr>
            <w:tcW w:w="7508" w:type="dxa"/>
          </w:tcPr>
          <w:p w14:paraId="6E18C379" w14:textId="77777777" w:rsidR="005439C6" w:rsidRDefault="005439C6" w:rsidP="00AB027C">
            <w:pPr>
              <w:pStyle w:val="TableParagraph"/>
              <w:spacing w:line="33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Further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context</w:t>
            </w:r>
          </w:p>
          <w:p w14:paraId="470FF81D" w14:textId="77777777" w:rsidR="005439C6" w:rsidRDefault="005439C6" w:rsidP="00AB027C">
            <w:pPr>
              <w:pStyle w:val="TableParagraph"/>
              <w:spacing w:before="0"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Relative</w:t>
            </w:r>
            <w:r>
              <w:rPr>
                <w:b/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to</w:t>
            </w:r>
            <w:r>
              <w:rPr>
                <w:b/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local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challenges</w:t>
            </w:r>
          </w:p>
        </w:tc>
      </w:tr>
      <w:tr w:rsidR="005439C6" w:rsidRPr="00B41468" w14:paraId="4FE8AD96" w14:textId="77777777" w:rsidTr="001D4B98">
        <w:trPr>
          <w:trHeight w:val="3374"/>
        </w:trPr>
        <w:tc>
          <w:tcPr>
            <w:tcW w:w="6867" w:type="dxa"/>
          </w:tcPr>
          <w:p w14:paraId="18CD348E" w14:textId="77777777" w:rsidR="005439C6" w:rsidRPr="00B41468" w:rsidRDefault="005439C6" w:rsidP="00AB027C">
            <w:pPr>
              <w:pStyle w:val="TableParagraph"/>
              <w:spacing w:before="18" w:line="235" w:lineRule="auto"/>
              <w:ind w:right="3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What</w:t>
            </w:r>
            <w:r w:rsidRPr="00B41468">
              <w:rPr>
                <w:rFonts w:asciiTheme="minorHAnsi" w:hAnsiTheme="minorHAnsi" w:cstheme="min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percentage</w:t>
            </w:r>
            <w:r w:rsidRPr="00B41468">
              <w:rPr>
                <w:rFonts w:asciiTheme="minorHAnsi" w:hAnsiTheme="minorHAnsi" w:cstheme="min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of</w:t>
            </w:r>
            <w:r w:rsidRPr="00B41468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your</w:t>
            </w:r>
            <w:r w:rsidRPr="00B41468">
              <w:rPr>
                <w:rFonts w:asciiTheme="minorHAnsi" w:hAnsiTheme="minorHAnsi" w:cstheme="min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current</w:t>
            </w:r>
            <w:r w:rsidRPr="00B41468">
              <w:rPr>
                <w:rFonts w:asciiTheme="minorHAnsi" w:hAnsiTheme="minorHAnsi" w:cstheme="min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Year</w:t>
            </w:r>
            <w:r w:rsidRPr="00B41468">
              <w:rPr>
                <w:rFonts w:asciiTheme="minorHAnsi" w:hAnsiTheme="minorHAnsi" w:cstheme="min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6</w:t>
            </w:r>
            <w:r w:rsidRPr="00B41468">
              <w:rPr>
                <w:rFonts w:asciiTheme="minorHAnsi" w:hAnsiTheme="minorHAnsi" w:cstheme="min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cohort</w:t>
            </w:r>
            <w:r w:rsidRPr="00B41468">
              <w:rPr>
                <w:rFonts w:asciiTheme="minorHAnsi" w:hAnsiTheme="minorHAnsi" w:cstheme="min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can</w:t>
            </w:r>
            <w:r w:rsidRPr="00B41468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swim competently,</w:t>
            </w:r>
            <w:r w:rsidRPr="00B41468">
              <w:rPr>
                <w:rFonts w:asciiTheme="minorHAnsi" w:hAnsiTheme="minorHAnsi" w:cstheme="minorHAnsi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confidently</w:t>
            </w:r>
            <w:r w:rsidRPr="00B41468">
              <w:rPr>
                <w:rFonts w:asciiTheme="minorHAnsi" w:hAnsiTheme="minorHAnsi" w:cstheme="minorHAnsi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</w:t>
            </w:r>
            <w:r w:rsidRPr="00B41468">
              <w:rPr>
                <w:rFonts w:asciiTheme="minorHAnsi" w:hAnsiTheme="minorHAnsi" w:cstheme="minorHAnsi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proficiently</w:t>
            </w:r>
            <w:r w:rsidRPr="00B41468">
              <w:rPr>
                <w:rFonts w:asciiTheme="minorHAnsi" w:hAnsiTheme="minorHAnsi" w:cstheme="minorHAnsi"/>
                <w:color w:val="231F20"/>
                <w:spacing w:val="-15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over</w:t>
            </w:r>
            <w:r w:rsidRPr="00B41468">
              <w:rPr>
                <w:rFonts w:asciiTheme="minorHAnsi" w:hAnsiTheme="minorHAnsi" w:cstheme="minorHAnsi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</w:t>
            </w:r>
            <w:r w:rsidRPr="00B41468">
              <w:rPr>
                <w:rFonts w:asciiTheme="minorHAnsi" w:hAnsiTheme="minorHAnsi" w:cstheme="minorHAnsi"/>
                <w:color w:val="231F20"/>
                <w:spacing w:val="-16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distance of at least 25 </w:t>
            </w:r>
            <w:proofErr w:type="spellStart"/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metres</w:t>
            </w:r>
            <w:proofErr w:type="spellEnd"/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?</w:t>
            </w:r>
          </w:p>
        </w:tc>
        <w:tc>
          <w:tcPr>
            <w:tcW w:w="1003" w:type="dxa"/>
          </w:tcPr>
          <w:p w14:paraId="1365DB9E" w14:textId="43F3DCC1" w:rsidR="005439C6" w:rsidRPr="00B41468" w:rsidRDefault="001D4B98" w:rsidP="001D4B98">
            <w:pPr>
              <w:pStyle w:val="TableParagraph"/>
              <w:ind w:left="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22</w:t>
            </w:r>
            <w:r w:rsidR="005439C6"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%</w:t>
            </w:r>
          </w:p>
        </w:tc>
        <w:tc>
          <w:tcPr>
            <w:tcW w:w="7508" w:type="dxa"/>
          </w:tcPr>
          <w:p w14:paraId="45A7006F" w14:textId="5B4D5408" w:rsidR="005439C6" w:rsidRPr="00B41468" w:rsidRDefault="005439C6" w:rsidP="00AB027C">
            <w:pPr>
              <w:pStyle w:val="TableParagraph"/>
              <w:spacing w:before="3" w:line="235" w:lineRule="auto"/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Our </w:t>
            </w:r>
            <w:r w:rsidR="002A7E67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pupils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have regular weekly access to swimming which is delivered by </w:t>
            </w:r>
            <w:r w:rsidR="002A7E67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either 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external staff at the local leisure </w:t>
            </w:r>
            <w:proofErr w:type="spellStart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centre</w:t>
            </w:r>
            <w:proofErr w:type="spellEnd"/>
            <w:r w:rsidR="002A7E67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or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inhouse trained staff </w:t>
            </w:r>
            <w:r w:rsidR="002A7E67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at our 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hydrotherapy</w:t>
            </w:r>
            <w:r w:rsidR="002A7E67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pool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.</w:t>
            </w:r>
          </w:p>
          <w:p w14:paraId="32C87978" w14:textId="688696D7" w:rsidR="005439C6" w:rsidRPr="00B41468" w:rsidRDefault="00366431" w:rsidP="00AB027C">
            <w:pPr>
              <w:pStyle w:val="TableParagraph"/>
              <w:spacing w:before="3" w:line="235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All pupils at PHS have identified special educational needs. This </w:t>
            </w:r>
            <w:r w:rsidR="005439C6"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means that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most pupils also</w:t>
            </w:r>
            <w:r w:rsidR="005439C6"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present with a range of motor and sensory difficulties. This has a profound impact on the ability of our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pupil</w:t>
            </w:r>
            <w:r w:rsidR="005439C6"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s to become independent swimmers. Some of our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pupil</w:t>
            </w:r>
            <w:r w:rsidR="005439C6"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s also have complex physical needs such as cerebral palsy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which make body control and motor movements extremely challenging</w:t>
            </w:r>
            <w:r w:rsidR="005439C6"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. </w:t>
            </w:r>
            <w:proofErr w:type="spellStart"/>
            <w:r w:rsidR="005439C6"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Halliwick</w:t>
            </w:r>
            <w:proofErr w:type="spellEnd"/>
            <w:r w:rsidR="005439C6"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is an approach that is used to support our swimmers both in school and at the local leisure </w:t>
            </w:r>
            <w:proofErr w:type="spellStart"/>
            <w:r w:rsidR="005439C6"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centre</w:t>
            </w:r>
            <w:proofErr w:type="spellEnd"/>
            <w:r w:rsidR="005439C6"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.</w:t>
            </w:r>
          </w:p>
        </w:tc>
      </w:tr>
      <w:tr w:rsidR="005439C6" w:rsidRPr="00B41468" w14:paraId="313042CA" w14:textId="77777777" w:rsidTr="001D4B98">
        <w:trPr>
          <w:trHeight w:val="406"/>
        </w:trPr>
        <w:tc>
          <w:tcPr>
            <w:tcW w:w="6867" w:type="dxa"/>
          </w:tcPr>
          <w:p w14:paraId="2C5827CA" w14:textId="77777777" w:rsidR="005439C6" w:rsidRPr="00B41468" w:rsidRDefault="005439C6" w:rsidP="00AB027C">
            <w:pPr>
              <w:pStyle w:val="TableParagraph"/>
              <w:spacing w:before="18" w:line="235" w:lineRule="auto"/>
              <w:ind w:right="5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What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percentage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of</w:t>
            </w:r>
            <w:r w:rsidRPr="00B41468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your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current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Year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6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cohort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can</w:t>
            </w:r>
            <w:r w:rsidRPr="00B41468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 a</w:t>
            </w:r>
            <w:r w:rsidRPr="00B41468">
              <w:rPr>
                <w:rFonts w:asciiTheme="minorHAnsi" w:hAnsiTheme="minorHAnsi" w:cstheme="min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range</w:t>
            </w:r>
            <w:r w:rsidRPr="00B4146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of</w:t>
            </w:r>
            <w:r w:rsidRPr="00B41468">
              <w:rPr>
                <w:rFonts w:asciiTheme="minorHAnsi" w:hAnsiTheme="minorHAnsi" w:cstheme="min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strokes</w:t>
            </w:r>
            <w:r w:rsidRPr="00B41468">
              <w:rPr>
                <w:rFonts w:asciiTheme="minorHAnsi" w:hAnsiTheme="minorHAnsi" w:cstheme="minorHAnsi"/>
                <w:color w:val="231F20"/>
                <w:spacing w:val="-8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effectively</w:t>
            </w:r>
            <w:r w:rsidRPr="00B4146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[for</w:t>
            </w:r>
            <w:r w:rsidRPr="00B4146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example,</w:t>
            </w:r>
            <w:r w:rsidRPr="00B4146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front</w:t>
            </w:r>
            <w:r w:rsidRPr="00B4146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crawl, backstroke, and breaststroke]?</w:t>
            </w:r>
          </w:p>
        </w:tc>
        <w:tc>
          <w:tcPr>
            <w:tcW w:w="1003" w:type="dxa"/>
          </w:tcPr>
          <w:p w14:paraId="4CFB311F" w14:textId="7D68A882" w:rsidR="005439C6" w:rsidRPr="00B41468" w:rsidRDefault="001D4B98" w:rsidP="001D4B98">
            <w:pPr>
              <w:pStyle w:val="TableParagraph"/>
              <w:ind w:left="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0</w:t>
            </w:r>
            <w:r w:rsidR="005439C6"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%</w:t>
            </w:r>
          </w:p>
        </w:tc>
        <w:tc>
          <w:tcPr>
            <w:tcW w:w="7508" w:type="dxa"/>
          </w:tcPr>
          <w:p w14:paraId="5A4553E6" w14:textId="77777777" w:rsidR="00366431" w:rsidRDefault="00366431" w:rsidP="00366431">
            <w:pPr>
              <w:pStyle w:val="TableParagraph"/>
              <w:spacing w:before="3" w:line="235" w:lineRule="auto"/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Our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pupils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have regular weekly access to swimming which is delivered by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either 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external staff at the local leisure </w:t>
            </w:r>
            <w:proofErr w:type="spellStart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centre</w:t>
            </w:r>
            <w:proofErr w:type="spellEnd"/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or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inhouse trained staff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at our 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hydrotherapy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pool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.</w:t>
            </w:r>
          </w:p>
          <w:p w14:paraId="24A5780F" w14:textId="77777777" w:rsidR="00366431" w:rsidRPr="00B41468" w:rsidRDefault="00366431" w:rsidP="00366431">
            <w:pPr>
              <w:pStyle w:val="TableParagraph"/>
              <w:spacing w:before="3" w:line="235" w:lineRule="auto"/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</w:pPr>
          </w:p>
          <w:p w14:paraId="7C505741" w14:textId="6FE2C0BF" w:rsidR="005439C6" w:rsidRPr="00366431" w:rsidRDefault="00366431" w:rsidP="00366431">
            <w:pPr>
              <w:pStyle w:val="TableParagraph"/>
              <w:spacing w:before="3" w:line="235" w:lineRule="auto"/>
              <w:ind w:right="63"/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All pupils at PHS have identified special educational needs. This 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means that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most pupils also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present with a range of motor and sensory difficulties. This has a profound impact on the ability of our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pupil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s to become independent swimmers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who can demonstrate a range of swimming strokes. Some of our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pupil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s also have complex physical needs such as cerebral palsy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which make body control and motor movements extremely challenging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. </w:t>
            </w:r>
            <w:proofErr w:type="spellStart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Halliwick</w:t>
            </w:r>
            <w:proofErr w:type="spellEnd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is an approach that is used to support our swimmers both in school and at the local leisure </w:t>
            </w:r>
            <w:proofErr w:type="spellStart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centre</w:t>
            </w:r>
            <w:proofErr w:type="spellEnd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.</w:t>
            </w:r>
          </w:p>
        </w:tc>
      </w:tr>
    </w:tbl>
    <w:p w14:paraId="237F01B2" w14:textId="77777777" w:rsidR="005439C6" w:rsidRPr="00B41468" w:rsidRDefault="005439C6" w:rsidP="005439C6">
      <w:pPr>
        <w:spacing w:line="235" w:lineRule="auto"/>
        <w:rPr>
          <w:rFonts w:cstheme="minorHAnsi"/>
          <w:sz w:val="24"/>
          <w:szCs w:val="24"/>
        </w:rPr>
        <w:sectPr w:rsidR="005439C6" w:rsidRPr="00B41468" w:rsidSect="005439C6">
          <w:pgSz w:w="16840" w:h="11910" w:orient="landscape"/>
          <w:pgMar w:top="640" w:right="580" w:bottom="720" w:left="540" w:header="0" w:footer="440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861"/>
        <w:gridCol w:w="7650"/>
      </w:tblGrid>
      <w:tr w:rsidR="005439C6" w:rsidRPr="00B41468" w14:paraId="60DC1A26" w14:textId="77777777" w:rsidTr="001D4B98">
        <w:trPr>
          <w:trHeight w:val="3326"/>
        </w:trPr>
        <w:tc>
          <w:tcPr>
            <w:tcW w:w="6867" w:type="dxa"/>
          </w:tcPr>
          <w:p w14:paraId="5A70D9FC" w14:textId="77777777" w:rsidR="005439C6" w:rsidRPr="00B41468" w:rsidRDefault="005439C6" w:rsidP="00AB027C">
            <w:pPr>
              <w:pStyle w:val="TableParagraph"/>
              <w:spacing w:before="18" w:line="235" w:lineRule="auto"/>
              <w:ind w:right="478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lastRenderedPageBreak/>
              <w:t>What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percentage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of</w:t>
            </w:r>
            <w:r w:rsidRPr="00B41468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your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current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Year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6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cohort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are</w:t>
            </w:r>
            <w:r w:rsidRPr="00B41468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able to</w:t>
            </w:r>
            <w:proofErr w:type="gramEnd"/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perform safe self-rescue in different water-based </w:t>
            </w:r>
            <w:r w:rsidRPr="00B4146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situations?</w:t>
            </w:r>
          </w:p>
        </w:tc>
        <w:tc>
          <w:tcPr>
            <w:tcW w:w="861" w:type="dxa"/>
          </w:tcPr>
          <w:p w14:paraId="36678DF6" w14:textId="33157F9C" w:rsidR="005439C6" w:rsidRPr="00B41468" w:rsidRDefault="001D4B98" w:rsidP="001D4B98">
            <w:pPr>
              <w:pStyle w:val="TableParagraph"/>
              <w:ind w:left="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0</w:t>
            </w:r>
            <w:r w:rsidR="005439C6"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%</w:t>
            </w:r>
          </w:p>
        </w:tc>
        <w:tc>
          <w:tcPr>
            <w:tcW w:w="7650" w:type="dxa"/>
          </w:tcPr>
          <w:p w14:paraId="188F63F3" w14:textId="77777777" w:rsidR="00366431" w:rsidRDefault="00366431" w:rsidP="00366431">
            <w:pPr>
              <w:pStyle w:val="TableParagraph"/>
              <w:spacing w:before="3" w:line="235" w:lineRule="auto"/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Our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pupils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have regular weekly access to swimming which is delivered by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either 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external staff at the local leisure </w:t>
            </w:r>
            <w:proofErr w:type="spellStart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centre</w:t>
            </w:r>
            <w:proofErr w:type="spellEnd"/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or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inhouse trained staff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at our 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hydrotherapy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pool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.</w:t>
            </w:r>
          </w:p>
          <w:p w14:paraId="4FFA2EE7" w14:textId="77777777" w:rsidR="00366431" w:rsidRPr="00B41468" w:rsidRDefault="00366431" w:rsidP="00366431">
            <w:pPr>
              <w:pStyle w:val="TableParagraph"/>
              <w:spacing w:before="3" w:line="235" w:lineRule="auto"/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</w:pPr>
          </w:p>
          <w:p w14:paraId="3895AB5E" w14:textId="49F320BD" w:rsidR="005439C6" w:rsidRPr="00366431" w:rsidRDefault="00366431" w:rsidP="00366431">
            <w:pPr>
              <w:pStyle w:val="TableParagraph"/>
              <w:spacing w:before="3" w:line="235" w:lineRule="auto"/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All pupils at PHS have identified special educational needs. This 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means that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most pupils also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present with a range of motor and sensory difficulties. This has a profound impact on the ability of our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pupil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s to perform safe self-rescue within different </w:t>
            </w:r>
            <w:proofErr w:type="gramStart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water based</w:t>
            </w:r>
            <w:proofErr w:type="gramEnd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situations. Some of our 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pupil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s also have complex physical needs such as cerebral palsy</w:t>
            </w:r>
            <w:r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which make body control and motor movements extremely challenging</w:t>
            </w:r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. </w:t>
            </w:r>
            <w:proofErr w:type="spellStart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Halliwick</w:t>
            </w:r>
            <w:proofErr w:type="spellEnd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 xml:space="preserve"> is an approach that is used to support our swimmers both in school and at the local leisure </w:t>
            </w:r>
            <w:proofErr w:type="spellStart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centre</w:t>
            </w:r>
            <w:proofErr w:type="spellEnd"/>
            <w:r w:rsidRPr="00B41468">
              <w:rPr>
                <w:rFonts w:asciiTheme="minorHAnsi" w:hAnsiTheme="minorHAnsi" w:cstheme="minorHAnsi"/>
                <w:iCs/>
                <w:color w:val="58595B"/>
                <w:sz w:val="24"/>
                <w:szCs w:val="24"/>
              </w:rPr>
              <w:t>.</w:t>
            </w:r>
          </w:p>
        </w:tc>
      </w:tr>
      <w:tr w:rsidR="005439C6" w:rsidRPr="00B41468" w14:paraId="111F6612" w14:textId="77777777" w:rsidTr="001D4B98">
        <w:trPr>
          <w:trHeight w:val="1859"/>
        </w:trPr>
        <w:tc>
          <w:tcPr>
            <w:tcW w:w="6867" w:type="dxa"/>
          </w:tcPr>
          <w:p w14:paraId="76E41E4F" w14:textId="77777777" w:rsidR="005439C6" w:rsidRPr="00B41468" w:rsidRDefault="005439C6" w:rsidP="00AB027C">
            <w:pPr>
              <w:pStyle w:val="TableParagraph"/>
              <w:spacing w:before="18" w:line="235" w:lineRule="auto"/>
              <w:ind w:right="478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If your schools swimming data is below national expectation,</w:t>
            </w:r>
            <w:r w:rsidRPr="00B4146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you</w:t>
            </w:r>
            <w:r w:rsidRPr="00B4146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can</w:t>
            </w:r>
            <w:r w:rsidRPr="00B4146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choose</w:t>
            </w:r>
            <w:r w:rsidRPr="00B41468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B4146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use</w:t>
            </w:r>
            <w:r w:rsidRPr="00B41468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</w:t>
            </w:r>
            <w:r w:rsidRPr="00B41468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Primary</w:t>
            </w:r>
            <w:r w:rsidRPr="00B41468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</w:t>
            </w:r>
            <w:r w:rsidRPr="00B4146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 sport premium to provide additional top-up sessions for</w:t>
            </w:r>
            <w:r w:rsidRPr="00B4146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those</w:t>
            </w:r>
            <w:r w:rsidRPr="00B4146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pupils</w:t>
            </w:r>
            <w:r w:rsidRPr="00B4146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that</w:t>
            </w:r>
            <w:r w:rsidRPr="00B4146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did</w:t>
            </w:r>
            <w:r w:rsidRPr="00B4146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not</w:t>
            </w:r>
            <w:r w:rsidRPr="00B4146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meet</w:t>
            </w:r>
            <w:r w:rsidRPr="00B4146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National</w:t>
            </w:r>
            <w:r w:rsidRPr="00B4146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Curriculum</w:t>
            </w:r>
          </w:p>
          <w:p w14:paraId="286BBC3B" w14:textId="77777777" w:rsidR="005439C6" w:rsidRPr="00B41468" w:rsidRDefault="005439C6" w:rsidP="00AB027C">
            <w:pPr>
              <w:pStyle w:val="TableParagraph"/>
              <w:spacing w:before="5" w:line="235" w:lineRule="auto"/>
              <w:ind w:right="25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requirements</w:t>
            </w:r>
            <w:r w:rsidRPr="00B41468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after</w:t>
            </w:r>
            <w:r w:rsidRPr="00B41468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</w:t>
            </w:r>
            <w:r w:rsidRPr="00B41468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completion</w:t>
            </w:r>
            <w:r w:rsidRPr="00B41468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of</w:t>
            </w:r>
            <w:r w:rsidRPr="00B41468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core</w:t>
            </w:r>
            <w:r w:rsidRPr="00B41468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lessons.</w:t>
            </w:r>
            <w:r w:rsidRPr="00B41468">
              <w:rPr>
                <w:rFonts w:asciiTheme="minorHAnsi" w:hAnsiTheme="minorHAnsi" w:cstheme="minorHAnsi"/>
                <w:color w:val="231F20"/>
                <w:spacing w:val="-12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Have you done this?</w:t>
            </w:r>
          </w:p>
        </w:tc>
        <w:tc>
          <w:tcPr>
            <w:tcW w:w="861" w:type="dxa"/>
          </w:tcPr>
          <w:p w14:paraId="4820DCE7" w14:textId="77777777" w:rsidR="005439C6" w:rsidRPr="00B41468" w:rsidRDefault="005439C6" w:rsidP="001D4B98">
            <w:pPr>
              <w:pStyle w:val="TableParagraph"/>
              <w:ind w:left="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No</w:t>
            </w:r>
          </w:p>
        </w:tc>
        <w:tc>
          <w:tcPr>
            <w:tcW w:w="7650" w:type="dxa"/>
          </w:tcPr>
          <w:p w14:paraId="2FC76FF9" w14:textId="77777777" w:rsidR="005439C6" w:rsidRPr="00B41468" w:rsidRDefault="005439C6" w:rsidP="00AB027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39C6" w:rsidRPr="00B41468" w14:paraId="2F31414E" w14:textId="77777777" w:rsidTr="001D4B98">
        <w:trPr>
          <w:trHeight w:val="915"/>
        </w:trPr>
        <w:tc>
          <w:tcPr>
            <w:tcW w:w="6867" w:type="dxa"/>
          </w:tcPr>
          <w:p w14:paraId="7C9B865E" w14:textId="77777777" w:rsidR="005439C6" w:rsidRPr="00B41468" w:rsidRDefault="005439C6" w:rsidP="00AB027C">
            <w:pPr>
              <w:pStyle w:val="TableParagraph"/>
              <w:spacing w:before="18" w:line="235" w:lineRule="auto"/>
              <w:ind w:right="478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Have</w:t>
            </w:r>
            <w:r w:rsidRPr="00B41468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you</w:t>
            </w:r>
            <w:r w:rsidRPr="00B41468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provided</w:t>
            </w:r>
            <w:r w:rsidRPr="00B41468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CPD</w:t>
            </w:r>
            <w:r w:rsidRPr="00B41468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</w:t>
            </w:r>
            <w:r w:rsidRPr="00B41468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improve</w:t>
            </w:r>
            <w:r w:rsidRPr="00B41468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the</w:t>
            </w:r>
            <w:r w:rsidRPr="00B41468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knowledge</w:t>
            </w:r>
            <w:r w:rsidRPr="00B41468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4146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and confidence of staff to be able to teach swimming and water safety?</w:t>
            </w:r>
          </w:p>
        </w:tc>
        <w:tc>
          <w:tcPr>
            <w:tcW w:w="861" w:type="dxa"/>
          </w:tcPr>
          <w:p w14:paraId="757ECF70" w14:textId="77777777" w:rsidR="005439C6" w:rsidRPr="00B41468" w:rsidRDefault="005439C6" w:rsidP="001D4B98">
            <w:pPr>
              <w:pStyle w:val="TableParagraph"/>
              <w:ind w:left="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Yes</w:t>
            </w:r>
          </w:p>
        </w:tc>
        <w:tc>
          <w:tcPr>
            <w:tcW w:w="7650" w:type="dxa"/>
          </w:tcPr>
          <w:p w14:paraId="1CE8EF4E" w14:textId="03C8B1A2" w:rsidR="005439C6" w:rsidRPr="00B41468" w:rsidRDefault="005439C6" w:rsidP="00AB027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Staff delivering hydrotherapy and swimming lessons have completed a </w:t>
            </w:r>
            <w:proofErr w:type="gramStart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5 day</w:t>
            </w:r>
            <w:proofErr w:type="gramEnd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Halliwick</w:t>
            </w:r>
            <w:proofErr w:type="spellEnd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course in 2024. This was not paid for </w:t>
            </w:r>
            <w:r w:rsidR="00366431">
              <w:rPr>
                <w:rFonts w:asciiTheme="minorHAnsi" w:hAnsiTheme="minorHAnsi" w:cstheme="minorHAnsi"/>
                <w:sz w:val="24"/>
                <w:szCs w:val="24"/>
              </w:rPr>
              <w:t>out of the</w:t>
            </w:r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>sports</w:t>
            </w:r>
            <w:proofErr w:type="gramEnd"/>
            <w:r w:rsidRPr="00B41468">
              <w:rPr>
                <w:rFonts w:asciiTheme="minorHAnsi" w:hAnsiTheme="minorHAnsi" w:cstheme="minorHAnsi"/>
                <w:sz w:val="24"/>
                <w:szCs w:val="24"/>
              </w:rPr>
              <w:t xml:space="preserve"> premium money.</w:t>
            </w:r>
          </w:p>
        </w:tc>
      </w:tr>
    </w:tbl>
    <w:p w14:paraId="0FA30922" w14:textId="77777777" w:rsidR="005439C6" w:rsidRDefault="005439C6" w:rsidP="005439C6">
      <w:pPr>
        <w:rPr>
          <w:rFonts w:ascii="Times New Roman"/>
          <w:sz w:val="26"/>
        </w:rPr>
        <w:sectPr w:rsidR="005439C6" w:rsidSect="005439C6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7CA20EE0" w14:textId="77777777" w:rsidR="005439C6" w:rsidRDefault="005439C6" w:rsidP="005439C6">
      <w:pPr>
        <w:pStyle w:val="BodyText"/>
        <w:spacing w:before="18"/>
        <w:ind w:left="180"/>
      </w:pPr>
      <w:r>
        <w:rPr>
          <w:color w:val="231F20"/>
        </w:rPr>
        <w:lastRenderedPageBreak/>
        <w:t>Signed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by:</w:t>
      </w:r>
    </w:p>
    <w:p w14:paraId="7021AA0C" w14:textId="77777777" w:rsidR="005439C6" w:rsidRDefault="005439C6" w:rsidP="005439C6">
      <w:pPr>
        <w:pStyle w:val="BodyText"/>
        <w:spacing w:before="1"/>
        <w:rPr>
          <w:sz w:val="29"/>
        </w:rPr>
      </w:pPr>
    </w:p>
    <w:tbl>
      <w:tblPr>
        <w:tblW w:w="15377" w:type="dxa"/>
        <w:tblInd w:w="-7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0098"/>
      </w:tblGrid>
      <w:tr w:rsidR="005439C6" w14:paraId="4D96580D" w14:textId="77777777" w:rsidTr="00AB027C">
        <w:trPr>
          <w:trHeight w:val="452"/>
        </w:trPr>
        <w:tc>
          <w:tcPr>
            <w:tcW w:w="5279" w:type="dxa"/>
          </w:tcPr>
          <w:p w14:paraId="5685862B" w14:textId="77777777" w:rsidR="005439C6" w:rsidRDefault="005439C6" w:rsidP="00AB027C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Head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Teacher:</w:t>
            </w:r>
          </w:p>
        </w:tc>
        <w:tc>
          <w:tcPr>
            <w:tcW w:w="10098" w:type="dxa"/>
          </w:tcPr>
          <w:p w14:paraId="1F8D2D15" w14:textId="77777777" w:rsidR="001D4B98" w:rsidRDefault="005439C6" w:rsidP="001D4B98">
            <w:pPr>
              <w:pStyle w:val="TableParagraph"/>
              <w:rPr>
                <w:i/>
                <w:color w:val="4C4D4F"/>
                <w:spacing w:val="-2"/>
                <w:sz w:val="28"/>
              </w:rPr>
            </w:pPr>
            <w:r>
              <w:rPr>
                <w:i/>
                <w:color w:val="4C4D4F"/>
                <w:spacing w:val="-2"/>
                <w:sz w:val="28"/>
              </w:rPr>
              <w:t>John Steward</w:t>
            </w:r>
          </w:p>
          <w:p w14:paraId="5B790A8B" w14:textId="73EE7F0E" w:rsidR="001D4B98" w:rsidRDefault="001D4B98" w:rsidP="001D4B98">
            <w:pPr>
              <w:pStyle w:val="TableParagraph"/>
              <w:rPr>
                <w:i/>
                <w:sz w:val="28"/>
              </w:rPr>
            </w:pPr>
            <w:r w:rsidRPr="001D4B98">
              <w:rPr>
                <w:i/>
                <w:noProof/>
                <w:sz w:val="28"/>
              </w:rPr>
              <w:drawing>
                <wp:inline distT="0" distB="0" distL="0" distR="0" wp14:anchorId="74190C4B" wp14:editId="3F056AC7">
                  <wp:extent cx="717550" cy="328683"/>
                  <wp:effectExtent l="0" t="0" r="6350" b="0"/>
                  <wp:docPr id="446804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046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695" cy="33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6" w14:paraId="5B76422A" w14:textId="77777777" w:rsidTr="00AB027C">
        <w:trPr>
          <w:trHeight w:val="686"/>
        </w:trPr>
        <w:tc>
          <w:tcPr>
            <w:tcW w:w="5279" w:type="dxa"/>
          </w:tcPr>
          <w:p w14:paraId="1BBCD799" w14:textId="77777777" w:rsidR="005439C6" w:rsidRDefault="005439C6" w:rsidP="00AB027C">
            <w:pPr>
              <w:pStyle w:val="TableParagraph"/>
              <w:spacing w:before="0" w:line="336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Subject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Leader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individual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responsible for the Primary PE and sport premium:</w:t>
            </w:r>
          </w:p>
        </w:tc>
        <w:tc>
          <w:tcPr>
            <w:tcW w:w="10098" w:type="dxa"/>
          </w:tcPr>
          <w:p w14:paraId="2281574B" w14:textId="167E7A8E" w:rsidR="004A05F6" w:rsidRDefault="004A05F6" w:rsidP="00AB027C">
            <w:pPr>
              <w:pStyle w:val="TableParagraph"/>
              <w:rPr>
                <w:i/>
                <w:color w:val="4C4D4F"/>
                <w:sz w:val="28"/>
              </w:rPr>
            </w:pPr>
            <w:r>
              <w:rPr>
                <w:i/>
                <w:color w:val="4C4D4F"/>
                <w:sz w:val="28"/>
              </w:rPr>
              <w:t xml:space="preserve">Richard Downes: PE Teacher / </w:t>
            </w:r>
            <w:r w:rsidR="00366431">
              <w:rPr>
                <w:i/>
                <w:color w:val="4C4D4F"/>
                <w:sz w:val="28"/>
              </w:rPr>
              <w:t>Subject Lead</w:t>
            </w:r>
          </w:p>
          <w:p w14:paraId="36A7B923" w14:textId="5C396FC2" w:rsidR="005439C6" w:rsidRDefault="005439C6" w:rsidP="00AB027C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 xml:space="preserve">Stephanie Tucker, Physical Development Lead and Lead Physiotherapist </w:t>
            </w:r>
            <w:r w:rsidR="004A05F6" w:rsidRPr="004A05F6">
              <w:rPr>
                <w:i/>
                <w:noProof/>
                <w:color w:val="4C4D4F"/>
                <w:sz w:val="28"/>
              </w:rPr>
              <w:drawing>
                <wp:inline distT="0" distB="0" distL="0" distR="0" wp14:anchorId="188AEB8A" wp14:editId="04BD3391">
                  <wp:extent cx="1517650" cy="210523"/>
                  <wp:effectExtent l="0" t="0" r="6350" b="0"/>
                  <wp:docPr id="387468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6829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06" cy="21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6" w14:paraId="2ACE108E" w14:textId="77777777" w:rsidTr="00AB027C">
        <w:trPr>
          <w:trHeight w:val="655"/>
        </w:trPr>
        <w:tc>
          <w:tcPr>
            <w:tcW w:w="5279" w:type="dxa"/>
          </w:tcPr>
          <w:p w14:paraId="62D525EA" w14:textId="77777777" w:rsidR="005439C6" w:rsidRDefault="005439C6" w:rsidP="00AB027C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Governor:</w:t>
            </w:r>
          </w:p>
        </w:tc>
        <w:tc>
          <w:tcPr>
            <w:tcW w:w="10098" w:type="dxa"/>
          </w:tcPr>
          <w:p w14:paraId="69A76E9B" w14:textId="77777777" w:rsidR="005439C6" w:rsidRDefault="001D4B98" w:rsidP="00AB027C">
            <w:pPr>
              <w:pStyle w:val="TableParagraph"/>
              <w:rPr>
                <w:i/>
                <w:color w:val="4C4D4F"/>
                <w:sz w:val="28"/>
              </w:rPr>
            </w:pPr>
            <w:r>
              <w:rPr>
                <w:i/>
                <w:color w:val="4C4D4F"/>
                <w:sz w:val="28"/>
              </w:rPr>
              <w:t xml:space="preserve">Carla Maley, Non-teaching Governor, Senior School Business Manager </w:t>
            </w:r>
          </w:p>
          <w:p w14:paraId="261C67FD" w14:textId="47795823" w:rsidR="001D4B98" w:rsidRPr="001D4B98" w:rsidRDefault="001D4B98" w:rsidP="001D4B98">
            <w:pPr>
              <w:pStyle w:val="TableParagraph"/>
              <w:rPr>
                <w:i/>
                <w:sz w:val="28"/>
                <w:lang w:val="en-GB"/>
              </w:rPr>
            </w:pPr>
            <w:r w:rsidRPr="001D4B98">
              <w:rPr>
                <w:i/>
                <w:noProof/>
                <w:sz w:val="28"/>
                <w:lang w:val="en-GB"/>
              </w:rPr>
              <w:drawing>
                <wp:inline distT="0" distB="0" distL="0" distR="0" wp14:anchorId="72CE5EC9" wp14:editId="59A6EB7A">
                  <wp:extent cx="666750" cy="278110"/>
                  <wp:effectExtent l="0" t="0" r="0" b="8255"/>
                  <wp:docPr id="7661324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01" cy="282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9C6" w14:paraId="17D7E3A3" w14:textId="77777777" w:rsidTr="004A05F6">
        <w:trPr>
          <w:trHeight w:val="414"/>
        </w:trPr>
        <w:tc>
          <w:tcPr>
            <w:tcW w:w="5279" w:type="dxa"/>
          </w:tcPr>
          <w:p w14:paraId="3E5DE18A" w14:textId="77777777" w:rsidR="005439C6" w:rsidRDefault="005439C6" w:rsidP="00AB027C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Date:</w:t>
            </w:r>
          </w:p>
        </w:tc>
        <w:tc>
          <w:tcPr>
            <w:tcW w:w="10098" w:type="dxa"/>
          </w:tcPr>
          <w:p w14:paraId="32A24FB0" w14:textId="77777777" w:rsidR="005439C6" w:rsidRDefault="005439C6" w:rsidP="00AB027C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12.07.2024</w:t>
            </w:r>
          </w:p>
        </w:tc>
      </w:tr>
    </w:tbl>
    <w:p w14:paraId="75082DAB" w14:textId="77777777" w:rsidR="004A05F6" w:rsidRDefault="004A05F6" w:rsidP="00B41468">
      <w:pPr>
        <w:spacing w:before="23"/>
        <w:ind w:left="56"/>
        <w:rPr>
          <w:b/>
          <w:bCs/>
          <w:sz w:val="36"/>
        </w:rPr>
      </w:pPr>
    </w:p>
    <w:p w14:paraId="3B331249" w14:textId="062C8573" w:rsidR="00B41468" w:rsidRPr="00B41468" w:rsidRDefault="004A05F6" w:rsidP="00B41468">
      <w:pPr>
        <w:spacing w:before="23"/>
        <w:ind w:left="56"/>
        <w:rPr>
          <w:b/>
          <w:sz w:val="36"/>
        </w:rPr>
      </w:pPr>
      <w:r>
        <w:rPr>
          <w:b/>
          <w:bCs/>
          <w:sz w:val="36"/>
        </w:rPr>
        <w:t>2024-25</w:t>
      </w:r>
      <w:r w:rsidR="00B41468" w:rsidRPr="00B41468">
        <w:rPr>
          <w:b/>
          <w:bCs/>
          <w:sz w:val="36"/>
        </w:rPr>
        <w:t xml:space="preserve"> academic years </w:t>
      </w:r>
      <w:r>
        <w:rPr>
          <w:b/>
          <w:bCs/>
          <w:sz w:val="36"/>
        </w:rPr>
        <w:t>p</w:t>
      </w:r>
      <w:r w:rsidR="00B41468" w:rsidRPr="00B41468">
        <w:rPr>
          <w:b/>
          <w:bCs/>
          <w:sz w:val="36"/>
        </w:rPr>
        <w:t xml:space="preserve">rojected </w:t>
      </w:r>
      <w:r>
        <w:rPr>
          <w:b/>
          <w:bCs/>
          <w:sz w:val="36"/>
        </w:rPr>
        <w:t>s</w:t>
      </w:r>
      <w:r w:rsidR="00B41468" w:rsidRPr="00B41468">
        <w:rPr>
          <w:b/>
          <w:bCs/>
          <w:sz w:val="36"/>
        </w:rPr>
        <w:t>pending</w:t>
      </w:r>
    </w:p>
    <w:p w14:paraId="31514A2B" w14:textId="09CBBED0" w:rsidR="00B41468" w:rsidRDefault="00B41468" w:rsidP="00B41468">
      <w:pPr>
        <w:spacing w:before="23"/>
        <w:ind w:left="56"/>
        <w:rPr>
          <w:bCs/>
          <w:sz w:val="24"/>
          <w:szCs w:val="24"/>
        </w:rPr>
      </w:pPr>
      <w:r w:rsidRPr="00B41468">
        <w:rPr>
          <w:bCs/>
          <w:sz w:val="24"/>
          <w:szCs w:val="24"/>
        </w:rPr>
        <w:t>This year’s funds are currently being discussed and finalised with Senior Leadership and the Governing Body.  Our current expectations are that they will be used to fund:</w:t>
      </w:r>
    </w:p>
    <w:p w14:paraId="6EB5DBFC" w14:textId="418257FB" w:rsidR="00FC15A3" w:rsidRDefault="00FC15A3" w:rsidP="00FC15A3">
      <w:pPr>
        <w:pStyle w:val="ListParagraph"/>
        <w:numPr>
          <w:ilvl w:val="0"/>
          <w:numId w:val="5"/>
        </w:numPr>
        <w:spacing w:before="23"/>
        <w:rPr>
          <w:bCs/>
          <w:sz w:val="24"/>
          <w:szCs w:val="24"/>
        </w:rPr>
      </w:pPr>
      <w:r>
        <w:rPr>
          <w:bCs/>
          <w:sz w:val="24"/>
          <w:szCs w:val="24"/>
        </w:rPr>
        <w:t>To invest further in adaptable bikes – ensuring</w:t>
      </w:r>
      <w:r w:rsidR="00366431">
        <w:rPr>
          <w:bCs/>
          <w:sz w:val="24"/>
          <w:szCs w:val="24"/>
        </w:rPr>
        <w:t xml:space="preserve"> greater opportunities</w:t>
      </w:r>
      <w:r>
        <w:rPr>
          <w:bCs/>
          <w:sz w:val="24"/>
          <w:szCs w:val="24"/>
        </w:rPr>
        <w:t xml:space="preserve"> </w:t>
      </w:r>
      <w:r w:rsidR="00366431">
        <w:rPr>
          <w:bCs/>
          <w:sz w:val="24"/>
          <w:szCs w:val="24"/>
        </w:rPr>
        <w:t xml:space="preserve">for </w:t>
      </w:r>
      <w:r>
        <w:rPr>
          <w:bCs/>
          <w:sz w:val="24"/>
          <w:szCs w:val="24"/>
        </w:rPr>
        <w:t xml:space="preserve">our most physically complex pupils </w:t>
      </w:r>
      <w:r w:rsidR="00366431">
        <w:rPr>
          <w:bCs/>
          <w:sz w:val="24"/>
          <w:szCs w:val="24"/>
        </w:rPr>
        <w:t xml:space="preserve">to </w:t>
      </w:r>
      <w:r>
        <w:rPr>
          <w:bCs/>
          <w:sz w:val="24"/>
          <w:szCs w:val="24"/>
        </w:rPr>
        <w:t xml:space="preserve">access cycling opportunities </w:t>
      </w:r>
    </w:p>
    <w:p w14:paraId="1693C2BF" w14:textId="17B600FB" w:rsidR="00FC15A3" w:rsidRDefault="00FC15A3" w:rsidP="00FC15A3">
      <w:pPr>
        <w:pStyle w:val="ListParagraph"/>
        <w:numPr>
          <w:ilvl w:val="0"/>
          <w:numId w:val="5"/>
        </w:numPr>
        <w:spacing w:before="2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continue to invest in a broader range of sensory equipment ensuring high quality accessible PE lessons, lunch clubs and enrichment opportunities for our most complex pupils </w:t>
      </w:r>
    </w:p>
    <w:p w14:paraId="3D866635" w14:textId="4C7D4B7C" w:rsidR="00734175" w:rsidRDefault="00734175" w:rsidP="00FC15A3">
      <w:pPr>
        <w:pStyle w:val="ListParagraph"/>
        <w:numPr>
          <w:ilvl w:val="0"/>
          <w:numId w:val="5"/>
        </w:numPr>
        <w:spacing w:before="2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Investment in mini-bus driver licence to </w:t>
      </w:r>
      <w:r w:rsidR="00366431">
        <w:rPr>
          <w:bCs/>
          <w:sz w:val="24"/>
          <w:szCs w:val="24"/>
        </w:rPr>
        <w:t xml:space="preserve">continue to </w:t>
      </w:r>
      <w:r>
        <w:rPr>
          <w:bCs/>
          <w:sz w:val="24"/>
          <w:szCs w:val="24"/>
        </w:rPr>
        <w:t xml:space="preserve">support improved access to external sporting events </w:t>
      </w:r>
    </w:p>
    <w:p w14:paraId="56D1DA73" w14:textId="6F01DFD7" w:rsidR="00734175" w:rsidRDefault="00734175" w:rsidP="00FC15A3">
      <w:pPr>
        <w:pStyle w:val="ListParagraph"/>
        <w:numPr>
          <w:ilvl w:val="0"/>
          <w:numId w:val="5"/>
        </w:numPr>
        <w:spacing w:before="23"/>
        <w:rPr>
          <w:bCs/>
          <w:sz w:val="24"/>
          <w:szCs w:val="24"/>
        </w:rPr>
      </w:pPr>
      <w:r>
        <w:rPr>
          <w:bCs/>
          <w:sz w:val="24"/>
          <w:szCs w:val="24"/>
        </w:rPr>
        <w:t>CPD to continue to e</w:t>
      </w:r>
      <w:r w:rsidRPr="00734175">
        <w:rPr>
          <w:bCs/>
          <w:sz w:val="24"/>
          <w:szCs w:val="24"/>
        </w:rPr>
        <w:t>nsure staff have the</w:t>
      </w:r>
      <w:r>
        <w:rPr>
          <w:bCs/>
          <w:sz w:val="24"/>
          <w:szCs w:val="24"/>
        </w:rPr>
        <w:t xml:space="preserve"> specialist</w:t>
      </w:r>
      <w:r w:rsidRPr="00734175">
        <w:rPr>
          <w:bCs/>
          <w:sz w:val="24"/>
          <w:szCs w:val="24"/>
        </w:rPr>
        <w:t xml:space="preserve"> knowledge and skills to deliver and support </w:t>
      </w:r>
      <w:r>
        <w:rPr>
          <w:bCs/>
          <w:sz w:val="24"/>
          <w:szCs w:val="24"/>
        </w:rPr>
        <w:t xml:space="preserve">progressive and </w:t>
      </w:r>
      <w:r w:rsidRPr="00734175">
        <w:rPr>
          <w:bCs/>
          <w:sz w:val="24"/>
          <w:szCs w:val="24"/>
        </w:rPr>
        <w:t>high</w:t>
      </w:r>
      <w:r w:rsidR="00366431">
        <w:rPr>
          <w:bCs/>
          <w:sz w:val="24"/>
          <w:szCs w:val="24"/>
        </w:rPr>
        <w:t>-</w:t>
      </w:r>
      <w:r w:rsidRPr="00734175">
        <w:rPr>
          <w:bCs/>
          <w:sz w:val="24"/>
          <w:szCs w:val="24"/>
        </w:rPr>
        <w:t xml:space="preserve">quality PE </w:t>
      </w:r>
      <w:r w:rsidR="00366431">
        <w:rPr>
          <w:bCs/>
          <w:sz w:val="24"/>
          <w:szCs w:val="24"/>
        </w:rPr>
        <w:t xml:space="preserve">lessons, </w:t>
      </w:r>
      <w:r w:rsidR="001D4B98">
        <w:rPr>
          <w:bCs/>
          <w:sz w:val="24"/>
          <w:szCs w:val="24"/>
        </w:rPr>
        <w:t xml:space="preserve">and to maximise pupil outcomes </w:t>
      </w:r>
    </w:p>
    <w:p w14:paraId="68071ABF" w14:textId="7732EE8F" w:rsidR="005439C6" w:rsidRDefault="00734175" w:rsidP="001D4B98">
      <w:pPr>
        <w:pStyle w:val="ListParagraph"/>
        <w:numPr>
          <w:ilvl w:val="0"/>
          <w:numId w:val="5"/>
        </w:numPr>
        <w:spacing w:before="23"/>
        <w:rPr>
          <w:bCs/>
          <w:sz w:val="24"/>
          <w:szCs w:val="24"/>
        </w:rPr>
      </w:pPr>
      <w:r w:rsidRPr="00734175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quipment to e</w:t>
      </w:r>
      <w:r w:rsidRPr="00734175">
        <w:rPr>
          <w:bCs/>
          <w:sz w:val="24"/>
          <w:szCs w:val="24"/>
        </w:rPr>
        <w:t>nsure PHS offers an exceptional provision to support pupils' physical needs </w:t>
      </w:r>
      <w:r>
        <w:rPr>
          <w:bCs/>
          <w:sz w:val="24"/>
          <w:szCs w:val="24"/>
        </w:rPr>
        <w:t xml:space="preserve">during play, sporting and learning environments </w:t>
      </w:r>
    </w:p>
    <w:p w14:paraId="55B27CE1" w14:textId="7E44C54F" w:rsidR="001D4B98" w:rsidRPr="001D4B98" w:rsidRDefault="001D4B98" w:rsidP="001D4B98">
      <w:pPr>
        <w:pStyle w:val="ListParagraph"/>
        <w:numPr>
          <w:ilvl w:val="0"/>
          <w:numId w:val="5"/>
        </w:numPr>
        <w:spacing w:before="23"/>
        <w:rPr>
          <w:bCs/>
          <w:sz w:val="24"/>
          <w:szCs w:val="24"/>
        </w:rPr>
      </w:pPr>
      <w:r>
        <w:rPr>
          <w:bCs/>
          <w:sz w:val="24"/>
          <w:szCs w:val="24"/>
        </w:rPr>
        <w:t>Investment in swimming equipment, training and resources to improve pupils water safety and independence in the water</w:t>
      </w:r>
    </w:p>
    <w:sectPr w:rsidR="001D4B98" w:rsidRPr="001D4B98" w:rsidSect="00B414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63D51"/>
    <w:multiLevelType w:val="multilevel"/>
    <w:tmpl w:val="27EA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C287F"/>
    <w:multiLevelType w:val="multilevel"/>
    <w:tmpl w:val="935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32301"/>
    <w:multiLevelType w:val="hybridMultilevel"/>
    <w:tmpl w:val="D47C2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F43F2C"/>
    <w:multiLevelType w:val="hybridMultilevel"/>
    <w:tmpl w:val="605AE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866884"/>
    <w:multiLevelType w:val="hybridMultilevel"/>
    <w:tmpl w:val="679C5510"/>
    <w:lvl w:ilvl="0" w:tplc="EFB8EB38">
      <w:start w:val="4"/>
      <w:numFmt w:val="bullet"/>
      <w:lvlText w:val="-"/>
      <w:lvlJc w:val="left"/>
      <w:pPr>
        <w:ind w:left="41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5" w15:restartNumberingAfterBreak="0">
    <w:nsid w:val="774A335E"/>
    <w:multiLevelType w:val="hybridMultilevel"/>
    <w:tmpl w:val="56603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4886634">
    <w:abstractNumId w:val="2"/>
  </w:num>
  <w:num w:numId="2" w16cid:durableId="1843011232">
    <w:abstractNumId w:val="5"/>
  </w:num>
  <w:num w:numId="3" w16cid:durableId="1302416598">
    <w:abstractNumId w:val="3"/>
  </w:num>
  <w:num w:numId="4" w16cid:durableId="484250126">
    <w:abstractNumId w:val="1"/>
  </w:num>
  <w:num w:numId="5" w16cid:durableId="1738238185">
    <w:abstractNumId w:val="4"/>
  </w:num>
  <w:num w:numId="6" w16cid:durableId="20521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C6"/>
    <w:rsid w:val="001D4B98"/>
    <w:rsid w:val="00230DB3"/>
    <w:rsid w:val="00270B80"/>
    <w:rsid w:val="002A7E67"/>
    <w:rsid w:val="002C5BEC"/>
    <w:rsid w:val="00366431"/>
    <w:rsid w:val="004A05F6"/>
    <w:rsid w:val="005439C6"/>
    <w:rsid w:val="00734175"/>
    <w:rsid w:val="007F07C5"/>
    <w:rsid w:val="00890B08"/>
    <w:rsid w:val="009B6882"/>
    <w:rsid w:val="009E3924"/>
    <w:rsid w:val="00B41468"/>
    <w:rsid w:val="00D63961"/>
    <w:rsid w:val="00E120D5"/>
    <w:rsid w:val="00F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C62F"/>
  <w15:chartTrackingRefBased/>
  <w15:docId w15:val="{4192E547-FD42-4577-B0D9-B895791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9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9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9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9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9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9C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9C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9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9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9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9C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9C6"/>
    <w:rPr>
      <w:b/>
      <w:bCs/>
      <w:smallCaps/>
      <w:color w:val="365F9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439C6"/>
    <w:pPr>
      <w:widowControl w:val="0"/>
      <w:autoSpaceDE w:val="0"/>
      <w:autoSpaceDN w:val="0"/>
      <w:spacing w:before="13" w:after="0" w:line="240" w:lineRule="auto"/>
      <w:ind w:left="80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439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39C6"/>
    <w:rPr>
      <w:rFonts w:ascii="Calibri" w:eastAsia="Calibri" w:hAnsi="Calibri" w:cs="Calibri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FC1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8414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Tucker (Staff)</dc:creator>
  <cp:keywords/>
  <dc:description/>
  <cp:lastModifiedBy>Katie Pharoah (Staff)</cp:lastModifiedBy>
  <cp:revision>2</cp:revision>
  <dcterms:created xsi:type="dcterms:W3CDTF">2024-09-30T07:52:00Z</dcterms:created>
  <dcterms:modified xsi:type="dcterms:W3CDTF">2024-09-30T07:52:00Z</dcterms:modified>
</cp:coreProperties>
</file>